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00" w:rsidRDefault="001E6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400" w:rsidRDefault="001E6400">
      <w:pPr>
        <w:pStyle w:val="ConsPlusNormal"/>
        <w:jc w:val="both"/>
        <w:outlineLvl w:val="0"/>
      </w:pPr>
    </w:p>
    <w:p w:rsidR="001E6400" w:rsidRDefault="001E6400">
      <w:pPr>
        <w:pStyle w:val="ConsPlusNormal"/>
        <w:outlineLvl w:val="0"/>
      </w:pPr>
      <w:r>
        <w:t>Зарегистрировано в Минюсте России 24 октября 2013 г. N 30246</w:t>
      </w:r>
    </w:p>
    <w:p w:rsidR="001E6400" w:rsidRDefault="001E6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E6400" w:rsidRDefault="001E6400">
      <w:pPr>
        <w:pStyle w:val="ConsPlusTitle"/>
        <w:jc w:val="center"/>
      </w:pPr>
    </w:p>
    <w:p w:rsidR="001E6400" w:rsidRDefault="001E6400">
      <w:pPr>
        <w:pStyle w:val="ConsPlusTitle"/>
        <w:jc w:val="center"/>
      </w:pPr>
      <w:r>
        <w:t>ПРИКАЗ</w:t>
      </w:r>
    </w:p>
    <w:p w:rsidR="001E6400" w:rsidRDefault="001E6400">
      <w:pPr>
        <w:pStyle w:val="ConsPlusTitle"/>
        <w:jc w:val="center"/>
      </w:pPr>
      <w:r>
        <w:t>от 23 августа 2013 г. N 380н</w:t>
      </w:r>
    </w:p>
    <w:p w:rsidR="001E6400" w:rsidRDefault="001E6400">
      <w:pPr>
        <w:pStyle w:val="ConsPlusTitle"/>
        <w:jc w:val="center"/>
      </w:pPr>
    </w:p>
    <w:p w:rsidR="001E6400" w:rsidRDefault="001E6400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1E6400" w:rsidRDefault="001E6400">
      <w:pPr>
        <w:pStyle w:val="ConsPlusTitle"/>
        <w:jc w:val="center"/>
      </w:pPr>
      <w:r>
        <w:t>ГОСУДАРСТВЕННОЙ УСЛУГИ ПО ОРГАНИЗАЦИИ ПРОФЕССИОНАЛЬНОЙ</w:t>
      </w:r>
    </w:p>
    <w:p w:rsidR="001E6400" w:rsidRDefault="001E6400">
      <w:pPr>
        <w:pStyle w:val="ConsPlusTitle"/>
        <w:jc w:val="center"/>
      </w:pPr>
      <w:r>
        <w:t>ОРИЕНТАЦИИ ГРАЖДАН В ЦЕЛЯХ ВЫБОРА СФЕРЫ ДЕЯТЕЛЬНОСТИ</w:t>
      </w:r>
    </w:p>
    <w:p w:rsidR="001E6400" w:rsidRDefault="001E6400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1E6400" w:rsidRDefault="001E6400">
      <w:pPr>
        <w:pStyle w:val="ConsPlusTitle"/>
        <w:jc w:val="center"/>
      </w:pPr>
      <w:r>
        <w:t>ОБУЧЕНИЯ И ПОЛУЧЕНИЯ ДОПОЛНИТЕЛЬНОГО</w:t>
      </w:r>
    </w:p>
    <w:p w:rsidR="001E6400" w:rsidRDefault="001E6400">
      <w:pPr>
        <w:pStyle w:val="ConsPlusTitle"/>
        <w:jc w:val="center"/>
      </w:pPr>
      <w:r>
        <w:t>ПРОФЕССИОНАЛЬНОГО ОБРАЗОВАНИЯ</w:t>
      </w:r>
    </w:p>
    <w:p w:rsidR="001E6400" w:rsidRDefault="001E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29.07.2014 </w:t>
            </w:r>
            <w:hyperlink r:id="rId5" w:history="1">
              <w:r>
                <w:rPr>
                  <w:color w:val="0000FF"/>
                </w:rPr>
                <w:t>N 499н</w:t>
              </w:r>
            </w:hyperlink>
            <w:r>
              <w:rPr>
                <w:color w:val="392C69"/>
              </w:rPr>
              <w:t>,</w:t>
            </w:r>
          </w:p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6" w:history="1">
              <w:r>
                <w:rPr>
                  <w:color w:val="0000FF"/>
                </w:rPr>
                <w:t>N 698н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7039; 2013, N 27, ст. 3477) приказываю:</w:t>
      </w:r>
    </w:p>
    <w:p w:rsidR="001E6400" w:rsidRDefault="001E640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29.07.2014 N 499н)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jc w:val="right"/>
      </w:pPr>
      <w:r>
        <w:t>Министр</w:t>
      </w:r>
    </w:p>
    <w:p w:rsidR="001E6400" w:rsidRDefault="001E6400">
      <w:pPr>
        <w:pStyle w:val="ConsPlusNormal"/>
        <w:jc w:val="right"/>
      </w:pPr>
      <w:r>
        <w:t>М.А.ТОПИЛИН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jc w:val="right"/>
        <w:outlineLvl w:val="0"/>
      </w:pPr>
      <w:r>
        <w:t>Утвержден</w:t>
      </w:r>
    </w:p>
    <w:p w:rsidR="001E6400" w:rsidRDefault="001E6400">
      <w:pPr>
        <w:pStyle w:val="ConsPlusNormal"/>
        <w:jc w:val="right"/>
      </w:pPr>
      <w:r>
        <w:t>приказом Министерства труда</w:t>
      </w:r>
    </w:p>
    <w:p w:rsidR="001E6400" w:rsidRDefault="001E6400">
      <w:pPr>
        <w:pStyle w:val="ConsPlusNormal"/>
        <w:jc w:val="right"/>
      </w:pPr>
      <w:r>
        <w:t>и социальной защиты</w:t>
      </w:r>
    </w:p>
    <w:p w:rsidR="001E6400" w:rsidRDefault="001E6400">
      <w:pPr>
        <w:pStyle w:val="ConsPlusNormal"/>
        <w:jc w:val="right"/>
      </w:pPr>
      <w:r>
        <w:t>Российской Федерации</w:t>
      </w:r>
    </w:p>
    <w:p w:rsidR="001E6400" w:rsidRDefault="001E6400">
      <w:pPr>
        <w:pStyle w:val="ConsPlusNormal"/>
        <w:jc w:val="right"/>
      </w:pPr>
      <w:r>
        <w:t>от 23 августа 2013 г. N 380н</w:t>
      </w:r>
    </w:p>
    <w:p w:rsidR="001E6400" w:rsidRDefault="001E6400">
      <w:pPr>
        <w:pStyle w:val="ConsPlusNormal"/>
        <w:jc w:val="right"/>
      </w:pPr>
    </w:p>
    <w:p w:rsidR="001E6400" w:rsidRDefault="001E6400">
      <w:pPr>
        <w:pStyle w:val="ConsPlusTitle"/>
        <w:jc w:val="center"/>
      </w:pPr>
      <w:bookmarkStart w:id="0" w:name="P36"/>
      <w:bookmarkEnd w:id="0"/>
      <w:r>
        <w:t>ФЕДЕРАЛЬНЫЙ ГОСУДАРСТВЕННЫЙ СТАНДАРТ</w:t>
      </w:r>
    </w:p>
    <w:p w:rsidR="001E6400" w:rsidRDefault="001E6400">
      <w:pPr>
        <w:pStyle w:val="ConsPlusTitle"/>
        <w:jc w:val="center"/>
      </w:pPr>
      <w:r>
        <w:t>ГОСУДАРСТВЕННОЙ УСЛУГИ ПО ОРГАНИЗАЦИИ ПРОФЕССИОНАЛЬНОЙ</w:t>
      </w:r>
    </w:p>
    <w:p w:rsidR="001E6400" w:rsidRDefault="001E6400">
      <w:pPr>
        <w:pStyle w:val="ConsPlusTitle"/>
        <w:jc w:val="center"/>
      </w:pPr>
      <w:r>
        <w:t>ОРИЕНТАЦИИ ГРАЖДАН В ЦЕЛЯХ ВЫБОРА СФЕРЫ ДЕЯТЕЛЬНОСТИ</w:t>
      </w:r>
    </w:p>
    <w:p w:rsidR="001E6400" w:rsidRDefault="001E6400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1E6400" w:rsidRDefault="001E6400">
      <w:pPr>
        <w:pStyle w:val="ConsPlusTitle"/>
        <w:jc w:val="center"/>
      </w:pPr>
      <w:r>
        <w:t>ОБУЧЕНИЯ И ПОЛУЧЕНИЯ ДОПОЛНИТЕЛЬНОГО</w:t>
      </w:r>
    </w:p>
    <w:p w:rsidR="001E6400" w:rsidRDefault="001E6400">
      <w:pPr>
        <w:pStyle w:val="ConsPlusTitle"/>
        <w:jc w:val="center"/>
      </w:pPr>
      <w:r>
        <w:t>ПРОФЕССИОНАЛЬНОГО ОБРАЗОВАНИЯ</w:t>
      </w:r>
    </w:p>
    <w:p w:rsidR="001E6400" w:rsidRDefault="001E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29.07.2014 </w:t>
            </w:r>
            <w:hyperlink r:id="rId9" w:history="1">
              <w:r>
                <w:rPr>
                  <w:color w:val="0000FF"/>
                </w:rPr>
                <w:t>N 499н</w:t>
              </w:r>
            </w:hyperlink>
            <w:r>
              <w:rPr>
                <w:color w:val="392C69"/>
              </w:rPr>
              <w:t>,</w:t>
            </w:r>
          </w:p>
          <w:p w:rsidR="001E6400" w:rsidRDefault="001E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0" w:history="1">
              <w:r>
                <w:rPr>
                  <w:color w:val="0000FF"/>
                </w:rPr>
                <w:t>N 698н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400" w:rsidRDefault="001E6400">
      <w:pPr>
        <w:pStyle w:val="ConsPlusNormal"/>
        <w:jc w:val="center"/>
      </w:pPr>
    </w:p>
    <w:p w:rsidR="001E6400" w:rsidRDefault="001E6400">
      <w:pPr>
        <w:pStyle w:val="ConsPlusTitle"/>
        <w:jc w:val="center"/>
        <w:outlineLvl w:val="1"/>
      </w:pPr>
      <w:r>
        <w:t>I. Общие положения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&lt;1&gt;.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организации государственными учреждениями службы занятости населения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1"/>
      </w:pPr>
      <w:r>
        <w:t>II. Требования к порядку предоставления государственной</w:t>
      </w:r>
    </w:p>
    <w:p w:rsidR="001E6400" w:rsidRDefault="001E6400">
      <w:pPr>
        <w:pStyle w:val="ConsPlusTitle"/>
        <w:jc w:val="center"/>
      </w:pPr>
      <w:r>
        <w:t>услуги, к составу, последовательности и срокам выполнения</w:t>
      </w:r>
    </w:p>
    <w:p w:rsidR="001E6400" w:rsidRDefault="001E6400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1E6400" w:rsidRDefault="001E6400">
      <w:pPr>
        <w:pStyle w:val="ConsPlusTitle"/>
        <w:jc w:val="center"/>
      </w:pPr>
      <w:r>
        <w:t>государственной услуги, в том числе к особенностям</w:t>
      </w:r>
    </w:p>
    <w:p w:rsidR="001E6400" w:rsidRDefault="001E6400">
      <w:pPr>
        <w:pStyle w:val="ConsPlusTitle"/>
        <w:jc w:val="center"/>
      </w:pPr>
      <w:r>
        <w:t>выполнения административных процедур в электронной</w:t>
      </w:r>
    </w:p>
    <w:p w:rsidR="001E6400" w:rsidRDefault="001E6400">
      <w:pPr>
        <w:pStyle w:val="ConsPlusTitle"/>
        <w:jc w:val="center"/>
      </w:pPr>
      <w:r>
        <w:t>форме, и критериям принятия решений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Title"/>
        <w:jc w:val="center"/>
        <w:outlineLvl w:val="2"/>
      </w:pPr>
      <w:r>
        <w:t>Порядок информирования о государственной услуге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&lt;2&gt;, включая федеральную государственную информационную систему "Единый портал государственных и муниципальных услуг (функций)" &lt;3&gt; и (или) региональные порталы государственных и муниципальных услуг (функций) &lt;4&gt;, а также через многофункциональные центры предоставления государственных и муниципальных услуг &lt;5&gt;.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&lt;2&gt; Далее - сеть Интернет.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&lt;3&gt; Далее - Единый портал.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&lt;4&gt; Далее - региональный портал.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&lt;5&gt; Далее - МФЦ.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 xml:space="preserve">4. Государственная услуга предоставляется государственными учреждениями службы занятости населения гражданам Российской Федерации, иностранным гражданам, лицам без </w:t>
      </w:r>
      <w:r>
        <w:lastRenderedPageBreak/>
        <w:t>гражданства &lt;6&gt;.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&lt;6&gt; Далее - граждане.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гражданина с заявлением о предоставлении государственной услуги &lt;7&gt; или его согласие с предложением о предоставлении государственной услуги &lt;8&gt;, выданным государственным учреждением службы занятости населения.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&lt;7&gt; Далее - заявление.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&lt;8&gt; Далее - предложение.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r>
        <w:t>В заявлении указываются: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&lt;9&gt; гражданина;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&lt;9&gt; Далее - отчество.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r>
        <w:t>дата обращения.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гражданина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27, ст. 3463).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В предложении указываются: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фамилия, имя, отчество гражданина;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согласие (несогласие) гражданина с предложением о предоставлении государственной услуги;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6.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7. При личном обращении граждан, впервые обратившихся в государственное учреждение службы занятости населения или в МФЦ, государственная услуга предоставляется в порядке очереди.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lastRenderedPageBreak/>
        <w:t>8. При направлении заявления в государственные учреждения службы занятости населения или в МФЦ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Согласование с гражданами даты и времени обращения в государственное учреждение службы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9. При обращении граждан в МФЦ предоставление государственной услуги осуществляется в соответствии с соглашением о взаимодействии между МФЦ и государственным учреждением службы занятости населения.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10. Государственная услуга может предоставляться гражданину по индивидуальной форме предоставления и (или) группе граждан по групповой форме предоставления согласно утвержденному в установленном порядке графику.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Форма предоставления государственной услуги согласовывается с гражданином.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11.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11.1.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1E6400" w:rsidRDefault="001E6400">
      <w:pPr>
        <w:pStyle w:val="ConsPlusNormal"/>
        <w:jc w:val="both"/>
      </w:pPr>
      <w:r>
        <w:t xml:space="preserve">(п. 11.1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29.07.2014 N 499н)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Критерии принятия решений о предоставлении</w:t>
      </w:r>
    </w:p>
    <w:p w:rsidR="001E6400" w:rsidRDefault="001E6400">
      <w:pPr>
        <w:pStyle w:val="ConsPlusTitle"/>
        <w:jc w:val="center"/>
      </w:pPr>
      <w:r>
        <w:t>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13. Решение о предоставлении государственной услуги принимается при наличии у органов службы занятости заявления или согласия гражданина с предложением.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При личном обращении гражданин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 xml:space="preserve">Граждане, относящиеся к категории инвалидов, вправе по собственной инициативе представить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&lt;10&gt;. В случае непредставления индивидуальной программы государственное учреждение службы занятости населения осуществляет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2017, N 1, ст. 12)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40035).</w:t>
      </w:r>
    </w:p>
    <w:p w:rsidR="001E6400" w:rsidRDefault="001E6400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27.09.2017 N 698н)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&lt;10&gt; Далее - индивидуальная программа реабилитации.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1E6400" w:rsidRDefault="001E6400">
      <w:pPr>
        <w:pStyle w:val="ConsPlusTitle"/>
        <w:jc w:val="center"/>
      </w:pPr>
      <w:r>
        <w:t>(действий) при предоставлении 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14. Государственная услуга включает следующие административные процедуры (действия):</w:t>
      </w:r>
    </w:p>
    <w:p w:rsidR="001E6400" w:rsidRDefault="001E6400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1) анализ сведений о гражданине,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 следующих сведений о гражданине: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2) информирование гражданина о порядке предоставления государственной услуги, направлениях профессиональной ориентации;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3) ознакомление гражданина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4) предложение гражданину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5) проведение тестирования (анкетирования) в соответствии с выбранным гражданином способом;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6) обработка материалов тестирования (анкетирования) гражданина;</w:t>
      </w:r>
    </w:p>
    <w:p w:rsidR="001E6400" w:rsidRDefault="001E6400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7) предложение гражданину пройти тренинг по профессиональной ориентации;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8) проведение тренинга по профессиональной ориентации при согласии гражданина;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9) подведение итогов тренинга по профессиональной ориентации и обсуждение его результатов;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10)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 xml:space="preserve">выявление факторов мотивации к выбору вида профессиональной (трудовой, служебной) деятельности &lt;11&gt;, профессии (специальности) для профессионального обучения или </w:t>
      </w:r>
      <w:r>
        <w:lastRenderedPageBreak/>
        <w:t>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&lt;11&gt; Далее - профессиональная деятельность.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bookmarkStart w:id="3" w:name="P139"/>
      <w:bookmarkEnd w:id="3"/>
      <w:r>
        <w:t>ознакомление гражданина с результатами тестирования (анкетирования);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ознакомление гражданина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ознакомление гражданина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ознакомление гражданина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ознакомление гражданина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 &lt;12&gt;,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&lt;12&gt; Далее - перечень образовательных организаций.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bookmarkStart w:id="4" w:name="P147"/>
      <w:bookmarkEnd w:id="4"/>
      <w:r>
        <w:t>подготовка и выдача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обсуждение рекомендаций с гражданином и определение направлений действий гражданина по их реализации;</w:t>
      </w:r>
    </w:p>
    <w:p w:rsidR="001E6400" w:rsidRDefault="001E6400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11) оформление и выдача (направление) гражданину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&lt;13&gt;;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&lt;13&gt; Далее - заключение о предоставлении государственной услуги.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  <w:bookmarkStart w:id="6" w:name="P153"/>
      <w:bookmarkEnd w:id="6"/>
      <w: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1E6400" w:rsidRDefault="001E6400">
      <w:pPr>
        <w:pStyle w:val="ConsPlusNormal"/>
        <w:jc w:val="both"/>
      </w:pPr>
      <w:r>
        <w:t xml:space="preserve">(п. 14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27.09.2017 N 698н)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1E6400" w:rsidRDefault="001E6400">
      <w:pPr>
        <w:pStyle w:val="ConsPlusTitle"/>
        <w:jc w:val="center"/>
      </w:pPr>
      <w:r>
        <w:t>при предоставлении 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15. Максимально допустимое время предоставления государственной услуги гражданам без учета времени тестирования (анкетирования) и тренинга не должно превышать 60 минут.</w:t>
      </w:r>
    </w:p>
    <w:p w:rsidR="001E6400" w:rsidRDefault="001E64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29.07.2014 N 499н)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гражданину заключения о предоставлении государственной услуги.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Предоставление государственной услуги в электронной форме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 xml:space="preserve">17. Допускается осуществление в электронной форме административных процедур (действий), предусмотренных </w:t>
      </w:r>
      <w:hyperlink w:anchor="P12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1" w:history="1">
        <w:r>
          <w:rPr>
            <w:color w:val="0000FF"/>
          </w:rPr>
          <w:t>7</w:t>
        </w:r>
      </w:hyperlink>
      <w:r>
        <w:t xml:space="preserve">, </w:t>
      </w:r>
      <w:hyperlink w:anchor="P149" w:history="1">
        <w:r>
          <w:rPr>
            <w:color w:val="0000FF"/>
          </w:rPr>
          <w:t>11</w:t>
        </w:r>
      </w:hyperlink>
      <w:r>
        <w:t xml:space="preserve"> - </w:t>
      </w:r>
      <w:hyperlink w:anchor="P153" w:history="1">
        <w:r>
          <w:rPr>
            <w:color w:val="0000FF"/>
          </w:rPr>
          <w:t>12</w:t>
        </w:r>
      </w:hyperlink>
      <w:r>
        <w:t xml:space="preserve">, </w:t>
      </w:r>
      <w:hyperlink w:anchor="P139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47" w:history="1">
        <w:r>
          <w:rPr>
            <w:color w:val="0000FF"/>
          </w:rPr>
          <w:t>восьмым подпункта 10 пункта 14</w:t>
        </w:r>
      </w:hyperlink>
      <w:r>
        <w:t xml:space="preserve"> настоящего федерального государственного стандарта.</w:t>
      </w:r>
    </w:p>
    <w:p w:rsidR="001E6400" w:rsidRDefault="001E6400">
      <w:pPr>
        <w:pStyle w:val="ConsPlusNormal"/>
        <w:jc w:val="both"/>
      </w:pPr>
      <w:r>
        <w:t xml:space="preserve">(п. 17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27.09.2017 N 698н)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1"/>
      </w:pPr>
      <w:r>
        <w:t>III. Требования к порядку и формам контроля</w:t>
      </w:r>
    </w:p>
    <w:p w:rsidR="001E6400" w:rsidRDefault="001E6400">
      <w:pPr>
        <w:pStyle w:val="ConsPlusTitle"/>
        <w:jc w:val="center"/>
      </w:pPr>
      <w:r>
        <w:t>за предоставлением 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18. Контроль за предоставлением государственной услуги осуществляется в следующих формах: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&lt;14&gt;.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&lt;14&gt; Далее - контроль за обеспечением государственных гарантий в области содействия занятости населения.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Порядок осуществления текущего контроля за предоставлением</w:t>
      </w:r>
    </w:p>
    <w:p w:rsidR="001E6400" w:rsidRDefault="001E6400">
      <w:pPr>
        <w:pStyle w:val="ConsPlusTitle"/>
        <w:jc w:val="center"/>
      </w:pPr>
      <w:r>
        <w:t>государственной услуги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19.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 xml:space="preserve">20. 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4322; 2013, N 27, ст. 3477),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2003, N 2, ст. 160; 2011, N 49, ст. 7039; 2013, N 27, ст. 3477), </w:t>
      </w:r>
      <w:hyperlink r:id="rId21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Title"/>
        <w:jc w:val="center"/>
        <w:outlineLvl w:val="2"/>
      </w:pPr>
      <w:r>
        <w:t>Порядок осуществления контроля за обеспечением</w:t>
      </w:r>
    </w:p>
    <w:p w:rsidR="001E6400" w:rsidRDefault="001E6400">
      <w:pPr>
        <w:pStyle w:val="ConsPlusTitle"/>
        <w:jc w:val="center"/>
      </w:pPr>
      <w:r>
        <w:t>государственных гарантий в области содействия</w:t>
      </w:r>
    </w:p>
    <w:p w:rsidR="001E6400" w:rsidRDefault="001E6400">
      <w:pPr>
        <w:pStyle w:val="ConsPlusTitle"/>
        <w:jc w:val="center"/>
      </w:pPr>
      <w:r>
        <w:t>занятости населения</w:t>
      </w:r>
    </w:p>
    <w:p w:rsidR="001E6400" w:rsidRDefault="001E6400">
      <w:pPr>
        <w:pStyle w:val="ConsPlusNormal"/>
        <w:jc w:val="center"/>
      </w:pPr>
    </w:p>
    <w:p w:rsidR="001E6400" w:rsidRDefault="001E6400">
      <w:pPr>
        <w:pStyle w:val="ConsPlusNormal"/>
        <w:ind w:firstLine="540"/>
        <w:jc w:val="both"/>
      </w:pPr>
      <w:r>
        <w:t>21.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22.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lastRenderedPageBreak/>
        <w:t>23.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1E6400" w:rsidRDefault="001E6400">
      <w:pPr>
        <w:pStyle w:val="ConsPlusNormal"/>
        <w:spacing w:before="220"/>
        <w:ind w:firstLine="540"/>
        <w:jc w:val="both"/>
      </w:pPr>
      <w:r>
        <w:t>24.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ind w:firstLine="540"/>
        <w:jc w:val="both"/>
      </w:pPr>
    </w:p>
    <w:p w:rsidR="001E6400" w:rsidRDefault="001E6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7" w:name="_GoBack"/>
      <w:bookmarkEnd w:id="7"/>
    </w:p>
    <w:sectPr w:rsidR="006E7719" w:rsidSect="004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0"/>
    <w:rsid w:val="001E6400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D8D1-97D5-4ED3-A0FC-6374DC6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4EE0DFF50436B634FC0E7E347AFC0598B6B8BDB5317A8DD60E0FD5AB5EDCF8247ACC84B6E81C7E4A7F46866B97220F1EF09614027DBBO2IBL" TargetMode="External"/><Relationship Id="rId13" Type="http://schemas.openxmlformats.org/officeDocument/2006/relationships/hyperlink" Target="consultantplus://offline/ref=D29E4EE0DFF50436B634FC0E7E347AFC079BB6B1B0B2317A8DD60E0FD5AB5EDCEA2422C086B6F61D7F5F2917C0O3IFL" TargetMode="External"/><Relationship Id="rId18" Type="http://schemas.openxmlformats.org/officeDocument/2006/relationships/hyperlink" Target="consultantplus://offline/ref=D29E4EE0DFF50436B634FC0E7E347AFC0696BEBCB4BD317A8DD60E0FD5AB5EDCF8247ACC84B6E81E764A7F46866B97220F1EF09614027DBBO2I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9E4EE0DFF50436B634FC0E7E347AFC079DBFBEBCBD317A8DD60E0FD5AB5EDCF8247ACC84B6E81C7C4A7F46866B97220F1EF09614027DBBO2IBL" TargetMode="External"/><Relationship Id="rId7" Type="http://schemas.openxmlformats.org/officeDocument/2006/relationships/hyperlink" Target="consultantplus://offline/ref=D29E4EE0DFF50436B634FC0E7E347AFC0799BEBBB4B2317A8DD60E0FD5AB5EDCF8247ACF81B5E3492F057E1AC03E84200E1EF29708O0I1L" TargetMode="External"/><Relationship Id="rId12" Type="http://schemas.openxmlformats.org/officeDocument/2006/relationships/hyperlink" Target="consultantplus://offline/ref=D29E4EE0DFF50436B634FC0E7E347AFC0598B6B8BDB5317A8DD60E0FD5AB5EDCF8247ACC84B6E81C7C4A7F46866B97220F1EF09614027DBBO2IBL" TargetMode="External"/><Relationship Id="rId17" Type="http://schemas.openxmlformats.org/officeDocument/2006/relationships/hyperlink" Target="consultantplus://offline/ref=D29E4EE0DFF50436B634FC0E7E347AFC0598B6B8BDB5317A8DD60E0FD5AB5EDCF8247ACC84B6E81C7A4A7F46866B97220F1EF09614027DBBO2I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E4EE0DFF50436B634FC0E7E347AFC0696BEBCB4BD317A8DD60E0FD5AB5EDCF8247ACC84B6E81C7A4A7F46866B97220F1EF09614027DBBO2IBL" TargetMode="External"/><Relationship Id="rId20" Type="http://schemas.openxmlformats.org/officeDocument/2006/relationships/hyperlink" Target="consultantplus://offline/ref=D29E4EE0DFF50436B634FC0E7E347AFC0799BEBBB4B2317A8DD60E0FD5AB5EDCEA2422C086B6F61D7F5F2917C0O3I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E4EE0DFF50436B634FC0E7E347AFC0696BEBCB4BD317A8DD60E0FD5AB5EDCF8247ACC84B6E81D784A7F46866B97220F1EF09614027DBBO2IBL" TargetMode="External"/><Relationship Id="rId11" Type="http://schemas.openxmlformats.org/officeDocument/2006/relationships/hyperlink" Target="consultantplus://offline/ref=D29E4EE0DFF50436B634FC0E7E347AFC079ABCB8B5BC317A8DD60E0FD5AB5EDCEA2422C086B6F61D7F5F2917C0O3IFL" TargetMode="External"/><Relationship Id="rId5" Type="http://schemas.openxmlformats.org/officeDocument/2006/relationships/hyperlink" Target="consultantplus://offline/ref=D29E4EE0DFF50436B634FC0E7E347AFC0598B6B8BDB5317A8DD60E0FD5AB5EDCF8247ACC84B6E81D784A7F46866B97220F1EF09614027DBBO2IBL" TargetMode="External"/><Relationship Id="rId15" Type="http://schemas.openxmlformats.org/officeDocument/2006/relationships/hyperlink" Target="consultantplus://offline/ref=D29E4EE0DFF50436B634FC0E7E347AFC0696BEBCB4BD317A8DD60E0FD5AB5EDCF8247ACC84B6E81C7E4A7F46866B97220F1EF09614027DBBO2I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9E4EE0DFF50436B634FC0E7E347AFC0696BEBCB4BD317A8DD60E0FD5AB5EDCF8247ACC84B6E81D784A7F46866B97220F1EF09614027DBBO2IBL" TargetMode="External"/><Relationship Id="rId19" Type="http://schemas.openxmlformats.org/officeDocument/2006/relationships/hyperlink" Target="consultantplus://offline/ref=D29E4EE0DFF50436B634FC0E7E347AFC079BB6B1B0B2317A8DD60E0FD5AB5EDCEA2422C086B6F61D7F5F2917C0O3I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9E4EE0DFF50436B634FC0E7E347AFC0598B6B8BDB5317A8DD60E0FD5AB5EDCF8247ACC84B6E81C7F4A7F46866B97220F1EF09614027DBBO2IBL" TargetMode="External"/><Relationship Id="rId14" Type="http://schemas.openxmlformats.org/officeDocument/2006/relationships/hyperlink" Target="consultantplus://offline/ref=D29E4EE0DFF50436B634FC0E7E347AFC0597BEBDB0B2317A8DD60E0FD5AB5EDCEA2422C086B6F61D7F5F2917C0O3I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2021-01-20T11:08:00Z</dcterms:created>
  <dcterms:modified xsi:type="dcterms:W3CDTF">2021-01-20T11:08:00Z</dcterms:modified>
</cp:coreProperties>
</file>